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f763ac8df41d7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33600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ŠTRIGOVA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III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536.126,12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678.560,87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126,6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429.967,39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453.958,87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105,6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106.158,73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224.602,00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211,6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33.820,31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294,18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11.171,20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1.043.797,50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9343,6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1.043.503,32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818.901,32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razdoblju od 01. siječnja do 31. ožujka prihodi poslovanja ostvareni su u iznosu od 678.560,87 EUR. Najznačajnije povećanje prihoda poslovanja ostvareno je u okviru prihoda od poreza zbog rasta plaća. U okviru pomoći od inozemstva i od subjekata unutar općeg proračuna zabilježeno je povećanje zbog uplaćenih sredstava pomoći temeljem ugovora o dodjeli bespovratnih sredstava za izgradnju matičnog vrtića u naselju Štrigova, a temeljem podnesenog ZNS-a. Značajno smanjenje prihoda poslovanja zabilježeno je na prihodima od imovine zbog manjeg prihoda od naknade za eksploataciju energetskih mineralnih sirovina. Prihodi od upravnih i administrativnih pristojbi, pristojbi po posebnim propisima i naknada povećani su zbog većeg prihoda od komunalne naknade u odnosu na izvještajno razdoblje prethodne godine.</w:t>
      </w:r>
    </w:p>
    <w:p>
      <w:r>
        <w:t xml:space="preserve">Rashodi poslovanja u razdoblju od 01. siječnja do 31. ožujka ostvareni su u iznosu od 453.958,87 EUR. Najznačajnije povećanje rashoda poslovanja zabilježeno je u dijelu rashoda za zaposlene uslijed povećanja plaća, materijalnih rashoda zbog većih rashoda za usluge tekućeg i investicijskog održavanja i naknada građanima i kućanstvima zbog sufinanciranja fotonaponskih elektrana. Rashodi za donacije, kazne, naknade šteta i kapitalne pomoći smanjeni su u odnosu na izvještajno razdoblje prethodne godine jer nije bilo rashoda za izgradnju kanalizacije i pročistača otpadnih voda.</w:t>
      </w:r>
    </w:p>
    <w:p>
      <w:r>
        <w:t xml:space="preserve">Prihodi od prodaje nefinancijske imovine iznose 294,18 EUR i bitno su smanjeni u odnosu na izvještajno razdoblje prethodne godine kada je ostvaren prihod od prodaje zemljišta.</w:t>
      </w:r>
    </w:p>
    <w:p>
      <w:r>
        <w:t xml:space="preserve">Rashodi za nabavu nefinancijske imovine povećani su u odnosu na izvještajno razdoblje prethodne godine zbog izgradnje dječjeg vrtića u naselju Štrigova.</w:t>
      </w:r>
    </w:p>
    <w:p>
      <w:r>
        <w:t xml:space="preserve">U navedenom razdoblju nije bilo ostvarenih primitaka od financijske imovine i zaduživanja, niti izdataka za financijsku imovinu i otplate zajmova.</w:t>
      </w:r>
    </w:p>
    <w:p>
      <w:r>
        <w:t xml:space="preserve">U izvještajnom razdoblju je ostvaren višak prihoda poslovanja u iznosu od 224.602,00 EUR i manjak prihoda od nefinancijske imovine u iznosu od 1.043.503,32 EUR, slijedom čega je na kraju izvještajnog razdoblja ustvaren ukupan manjak prihoda i primitaka u iznosu od 818.901,32 EUR.         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dohodak (šifre 6111 do 6116 - 6117 - 6119)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255.360,94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302.637,50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118,5</w:t>
            </w:r>
          </w:p>
        </w:tc>
      </w:tr>
    </w:tbl>
    <w:p>
      <w:pPr>
        <w:spacing w:before="0" w:after="0"/>
      </w:pPr>
    </w:p>
    <w:p>
      <w:r>
        <w:t xml:space="preserve">U izvještajnom razdoblju prihod od poreza na dohodak bilježi povećanje (indeks 118,5) zbog većeg prihoda od poreza na dohodak uslijed povećanja plaća.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imovinu (šifre 6131 do 6135)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23.288,80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12.519,25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53,8</w:t>
            </w:r>
          </w:p>
        </w:tc>
      </w:tr>
    </w:tbl>
    <w:p>
      <w:pPr>
        <w:spacing w:before="0" w:after="0"/>
      </w:pPr>
    </w:p>
    <w:p>
      <w:r>
        <w:t xml:space="preserve">Porez na imovinu bilježi smanjenje (indeks 53,8) zbog smanjenja prihoda od poreza na promet nekretnina zbog smanjenih ulaganja u kupnju tj. prodaju nekretnina.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temeljem prijenosa EU sredstava (šifre 6381+6382)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147.173,43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uplaćena su bespovratna sredstava temeljem ZNS-a od 15.12.2025. odobrena za izgradnju matičnog vrtića u naselju Štrigova.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nefinancijske imovine (šifre 6421 do 6429)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113.190,50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67.534,83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59,7</w:t>
            </w:r>
          </w:p>
        </w:tc>
      </w:tr>
    </w:tbl>
    <w:p>
      <w:pPr>
        <w:spacing w:before="0" w:after="0"/>
      </w:pPr>
    </w:p>
    <w:p>
      <w:r>
        <w:t xml:space="preserve">Prihodi od nefinancijske imovine bilježe smanjenje (indeks 59,7) zbog manjeg prihoda od naknade za eksploataciju energetskih mineralnih sirovina  - nafta i plin.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Komunalni doprinosi i naknade (šifre 6531 do 6533)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2.145,23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9.538,66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444,6</w:t>
            </w:r>
          </w:p>
        </w:tc>
      </w:tr>
    </w:tbl>
    <w:p>
      <w:pPr>
        <w:spacing w:before="0" w:after="0"/>
      </w:pPr>
    </w:p>
    <w:p>
      <w:r>
        <w:t xml:space="preserve">Povećan je prihod od komunalne naknade i doprinosa (indeks 444,6) zbog većih prihoda od komunalne naknade uslijed provođenja mjera naplate prihoda početkom godine.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(bruto) (šifre 3111 do 3114)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34.807,29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40.526,38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116,4</w:t>
            </w:r>
          </w:p>
        </w:tc>
      </w:tr>
    </w:tbl>
    <w:p>
      <w:pPr>
        <w:spacing w:before="0" w:after="0"/>
      </w:pPr>
    </w:p>
    <w:p>
      <w:r>
        <w:t xml:space="preserve">Povećan je rashod za plaće (indeks 116,4) zbog povećanja osnovice za izračun plaća.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materijal i energiju (šifre 3221 do 3227)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17.424,10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24.986,47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143,4</w:t>
            </w:r>
          </w:p>
        </w:tc>
      </w:tr>
    </w:tbl>
    <w:p>
      <w:pPr>
        <w:spacing w:before="0" w:after="0"/>
      </w:pPr>
    </w:p>
    <w:p>
      <w:r>
        <w:t xml:space="preserve">Rashodi za materijal i energiju bilježe povećanje (indeks 143,4) zbog većih troškova el. energije, kao i većih troškova za zimsko održavanje cesta (sol za ceste).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usluge (šifre 3231 do 3239)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95.775,51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113.826,51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118,8</w:t>
            </w:r>
          </w:p>
        </w:tc>
      </w:tr>
    </w:tbl>
    <w:p>
      <w:pPr>
        <w:spacing w:before="0" w:after="0"/>
      </w:pPr>
    </w:p>
    <w:p>
      <w:r>
        <w:t xml:space="preserve">Rashodi za usluge bilježe povećanje (indeks 118,8) zbog zemljanih radova i sanacije klizišta.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naknade građanima i kućanstvima iz proračuna (šifre 3721 do 3723)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87.990,99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118.878,56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135,1</w:t>
            </w:r>
          </w:p>
        </w:tc>
      </w:tr>
    </w:tbl>
    <w:p>
      <w:pPr>
        <w:spacing w:before="0" w:after="0"/>
      </w:pPr>
    </w:p>
    <w:p>
      <w:r>
        <w:t xml:space="preserve">Ostale naknade građanima i kućanstvima iz proračuna bilježe povećanje (indeks 135,1) zbog sufinanciranja fotonaponskih elektrana za veći broj korisnika.  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(šifre 3861 do 3865)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63.123,77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U izvještajnom razdoblju prethodne godine na ovoj poziciji je knjižen rashod za izgradnju kanalizacije i pročistača otpadnih voda, dok u izvještajnom razdoblju tekuće godine po navedenoj osnovi nema rashoda..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materijalne imovine - prirodnih bogatstava (šifre 7111 do 7113)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15.550,00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U izvještajnom razdoblju prethodne godine je ostvaren prihod od prodaje građevinskog zemljišta, dok u izvještajnom razdoblju tekuće godine po navedenoj osnovi nema rashoda.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građevinskih objekata (šifre 7211 do 7214)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18.270,31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294,18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1,6</w:t>
            </w:r>
          </w:p>
        </w:tc>
      </w:tr>
    </w:tbl>
    <w:p>
      <w:pPr>
        <w:spacing w:before="0" w:after="0"/>
      </w:pPr>
    </w:p>
    <w:p>
      <w:r>
        <w:t xml:space="preserve">Na navedenoj poziciji je zabilježeno smanjenje u odnosu na izvještajno razdoblje prethodne godine (indeks 1,6) zbog prodaje poslovnog prostora u centru Štrigove.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Građevinski objekti (šifre 4211 do 4214)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7.625,00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1.043.535,50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&gt;&gt;100</w:t>
            </w:r>
          </w:p>
        </w:tc>
      </w:tr>
    </w:tbl>
    <w:p>
      <w:pPr>
        <w:spacing w:before="0" w:after="0"/>
      </w:pPr>
    </w:p>
    <w:p>
      <w:r>
        <w:t xml:space="preserve">Na stavci građevinski objekti zabilježeno je značajno povećanje zbog izgradnje matičnog vrtića u naselju Štrigova.  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Postrojenja i oprema (šifre 4221 do 4228)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3.546,20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U izvještajnom razdoblju nije bilo nabave postrojenja i opreme.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97,74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Dospjele obveze na dan 31.03. 2026. godine iznose 97,74 EUR i odnose se na obveze za materijalne rashode za koje treba izvršiti usklađenje.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nedospjelih obveza na kraju izvještajnog razdoblja (šifre V010 + ND23 + ND24 + 'ND dio 25,26' + ND27)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875.324,12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Nedospjele obveze su veće u odnosu na početak godine zbog radova na izgradnji matičnog vrtića u naselju Štrigova.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U izvještajnom razdoblju u okviru izvora financiranja 581 Mehanizam za oporavak i otpornost provedeno je knjiženje prihoda u iznosu 147.173,43 EUR  - uplata sredstava za izgradnju matičnog vrtića u naselju Štrigova temeljem podnesenog ZNS-a od 15.12.2025. U okviru rashoda knjižen je iznos od 549.536,42 EUR, a odnosi se na izgradnju matičnog vrtića u naselju Štrigova. </w:t>
      </w:r>
    </w:p>
    <w:p>
      <w:r>
        <w:t xml:space="preserve">U okviru obračunatih prihoda poslovanja na zbroju prometa dugovne strane knjižen je iznos od 147.173,43 EUR (zatvaranje potraživanja temeljem ZNS-4 od 15.12.2025. - izgradnja i opremanje matičnog vrtića u Štrigovi), a na zbroju prometa potražne strane knjižen je iznos od 349.805,69 EUR (potraživanje temeljem ZNS-5 od 18.03.2026. - izgradnja i opremanje matičnog vrtića u Štrigovi.   </w:t>
      </w:r>
    </w:p>
    <w:p>
      <w:r>
        <w:t xml:space="preserve">Potraživanja za kapitalne pomoći temeljem podnesenog ZNS-a na prvi dan izvještajnog razdoblja iznose 147.173,43 EUR, a na zadnji dan izvještajnog razdoblja 349.805,69 EUR.</w:t>
      </w:r>
    </w:p>
    <w:p>
      <w:r>
        <w:t xml:space="preserve">Izvanbilančna evidencija temeljem ugovora o dodjeli bespovratnih sredstava za izgradnju matičnog vrtića u naselju Štrigova na prvi dan izvještajnog razdoblja iznosi 617.310,57 EUR, a na zadnji dan izvještajnog razdoblja 267.504,88 EUR. </w:t>
      </w:r>
    </w:p>
    <w:p>
      <w:r>
        <w:t xml:space="preserve">U okviru izvora financiranja 565 Europski poljoprivredni fond za ruralni razvoj provedeno je samo knjiženje izvanbilančne evidencije temeljem Odluke o dodjeli sredstava za projekt obnova višenamjenskog igrališta (LAG) u iznosu od 37.882,59 EUR.    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e40b2c46b134fbd" /></Relationships>
</file>